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6" w:rsidRPr="00A447E6" w:rsidRDefault="00A447E6" w:rsidP="00A447E6">
      <w:pPr>
        <w:shd w:val="clear" w:color="auto" w:fill="FFFFFF"/>
        <w:spacing w:before="100" w:beforeAutospacing="1" w:after="100" w:afterAutospacing="1" w:line="306" w:lineRule="atLeast"/>
        <w:jc w:val="center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u w:val="single"/>
          <w:lang w:eastAsia="ru-RU"/>
        </w:rPr>
        <w:t>Кто может быть членом Профсоюза</w:t>
      </w:r>
    </w:p>
    <w:p w:rsidR="00A447E6" w:rsidRPr="00A447E6" w:rsidRDefault="00A447E6" w:rsidP="00A447E6">
      <w:p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ab/>
      </w: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Членом Общероссийский профсоюз образования может быть каждый работник отрасли, признающий Устав профсоюза и уплачивающий членские взносы, а именно:</w:t>
      </w:r>
    </w:p>
    <w:p w:rsidR="00A447E6" w:rsidRPr="00A447E6" w:rsidRDefault="00A447E6" w:rsidP="00A4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br/>
        <w:t>неработающие пенсионеры – работники, ушедшие на пенсию, ранее состоящие в профсоюзе;</w:t>
      </w:r>
    </w:p>
    <w:p w:rsidR="00A447E6" w:rsidRPr="00A447E6" w:rsidRDefault="00A447E6" w:rsidP="00A4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A447E6" w:rsidRPr="00A447E6" w:rsidRDefault="00A447E6" w:rsidP="00A4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A447E6" w:rsidRPr="00A447E6" w:rsidRDefault="00A447E6" w:rsidP="00A4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работники, заключившие срочный контракт о работе (учёбе)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A447E6" w:rsidRPr="00A447E6" w:rsidRDefault="00A447E6" w:rsidP="00A447E6">
      <w:p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9BBB59" w:themeColor="accent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ab/>
      </w: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t>Как показывает практика, каждый работник образования решает проблему участия в деятельности профсоюза по-своему. Одни, проявляя социальную активность и заботясь о защите своих социально-трудовых прав, вступают в профсоюз и через достижение общих для работников образования целей успешно решают свои личные проблемы.</w:t>
      </w: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br/>
        <w:t>Другие, оценивая свои силы, не спешат связывать судьбу с профсоюзом и пытаются решать возникающие жизненные проблемы в одиночку, используя правовую базу социально-трудовых отношений в России.</w:t>
      </w:r>
      <w:r w:rsidRPr="00A447E6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</w:rPr>
        <w:br/>
        <w:t>В любом случае работник образования в современных условиях имеет широкие права и свободу выбора, которые он реализует в процессе своей трудовой деятельности.</w:t>
      </w:r>
    </w:p>
    <w:p w:rsidR="00A447E6" w:rsidRPr="00A447E6" w:rsidRDefault="00A447E6" w:rsidP="00A447E6">
      <w:pPr>
        <w:shd w:val="clear" w:color="auto" w:fill="FFFF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111D00"/>
          <w:sz w:val="20"/>
          <w:szCs w:val="20"/>
          <w:lang w:eastAsia="ru-RU"/>
        </w:rPr>
      </w:pPr>
      <w:r w:rsidRPr="00A447E6">
        <w:rPr>
          <w:rFonts w:ascii="Verdana" w:eastAsia="Times New Roman" w:hAnsi="Verdana" w:cs="Times New Roman"/>
          <w:color w:val="111D00"/>
          <w:sz w:val="20"/>
          <w:szCs w:val="20"/>
          <w:lang w:eastAsia="ru-RU"/>
        </w:rPr>
        <w:t> </w:t>
      </w:r>
    </w:p>
    <w:p w:rsidR="00BC14A1" w:rsidRDefault="00BC14A1"/>
    <w:sectPr w:rsidR="00BC14A1" w:rsidSect="00B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3D7"/>
    <w:multiLevelType w:val="multilevel"/>
    <w:tmpl w:val="B23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447E6"/>
    <w:rsid w:val="00A447E6"/>
    <w:rsid w:val="00B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2017-04-29T08:45:00Z</dcterms:created>
  <dcterms:modified xsi:type="dcterms:W3CDTF">2017-04-29T08:45:00Z</dcterms:modified>
</cp:coreProperties>
</file>